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83F3B" w:rsidRDefault="00883F3B" w:rsidP="007F0652">
      <w:pPr>
        <w:ind w:right="-540"/>
        <w:jc w:val="center"/>
        <w:rPr>
          <w:rFonts w:ascii="Arial" w:hAnsi="Arial" w:cs="Arial"/>
          <w:b/>
          <w:color w:val="002855"/>
          <w:sz w:val="28"/>
        </w:rPr>
      </w:pPr>
    </w:p>
    <w:p w:rsidR="00AF101D" w:rsidRPr="001C7901" w:rsidRDefault="007F0652" w:rsidP="007F0652">
      <w:pPr>
        <w:ind w:right="-540"/>
        <w:jc w:val="center"/>
        <w:rPr>
          <w:rFonts w:ascii="Arial" w:hAnsi="Arial" w:cs="Arial"/>
          <w:b/>
          <w:color w:val="002855"/>
        </w:rPr>
      </w:pPr>
      <w:proofErr w:type="spellStart"/>
      <w:r w:rsidRPr="007F0652">
        <w:rPr>
          <w:rFonts w:ascii="Arial" w:hAnsi="Arial" w:cs="Arial"/>
          <w:b/>
          <w:color w:val="002855"/>
          <w:sz w:val="28"/>
        </w:rPr>
        <w:t>Roetzel’s</w:t>
      </w:r>
      <w:proofErr w:type="spellEnd"/>
      <w:r w:rsidRPr="007F0652">
        <w:rPr>
          <w:rFonts w:ascii="Arial" w:hAnsi="Arial" w:cs="Arial"/>
          <w:b/>
          <w:color w:val="002855"/>
          <w:sz w:val="28"/>
        </w:rPr>
        <w:t xml:space="preserve"> Tom Rosenberg Elected to the Board of Governors of the American College of Construction Lawyers</w:t>
      </w:r>
    </w:p>
    <w:p w:rsidR="001C7901" w:rsidRPr="001C7901" w:rsidRDefault="001C7901" w:rsidP="001C7901">
      <w:pPr>
        <w:ind w:right="-540"/>
        <w:rPr>
          <w:rFonts w:ascii="Arial" w:hAnsi="Arial" w:cs="Arial"/>
          <w:b/>
          <w:sz w:val="20"/>
        </w:rPr>
      </w:pPr>
    </w:p>
    <w:p w:rsidR="007F0652" w:rsidRPr="007F0652" w:rsidRDefault="007F0652" w:rsidP="007F0652">
      <w:pPr>
        <w:ind w:right="-540"/>
        <w:rPr>
          <w:rFonts w:ascii="Arial" w:hAnsi="Arial" w:cs="Arial"/>
        </w:rPr>
      </w:pPr>
      <w:r w:rsidRPr="007F0652">
        <w:rPr>
          <w:rFonts w:ascii="Arial" w:hAnsi="Arial" w:cs="Arial"/>
          <w:b/>
        </w:rPr>
        <w:t>COLUMBUS, Ohio</w:t>
      </w:r>
      <w:r w:rsidRPr="007F0652">
        <w:rPr>
          <w:rFonts w:ascii="Arial" w:hAnsi="Arial" w:cs="Arial"/>
        </w:rPr>
        <w:t xml:space="preserve"> (April 5, 2021) — </w:t>
      </w:r>
      <w:r w:rsidRPr="007F0652">
        <w:rPr>
          <w:rFonts w:ascii="Arial" w:hAnsi="Arial" w:cs="Arial"/>
        </w:rPr>
        <w:t xml:space="preserve">Thomas L. Rosenberg, a Shareholder at </w:t>
      </w:r>
      <w:proofErr w:type="spellStart"/>
      <w:r w:rsidRPr="007F0652">
        <w:rPr>
          <w:rFonts w:ascii="Arial" w:hAnsi="Arial" w:cs="Arial"/>
        </w:rPr>
        <w:t>Roetzel</w:t>
      </w:r>
      <w:proofErr w:type="spellEnd"/>
      <w:r w:rsidRPr="007F0652">
        <w:rPr>
          <w:rFonts w:ascii="Arial" w:hAnsi="Arial" w:cs="Arial"/>
        </w:rPr>
        <w:t xml:space="preserve"> &amp; </w:t>
      </w:r>
      <w:proofErr w:type="spellStart"/>
      <w:r w:rsidRPr="007F0652">
        <w:rPr>
          <w:rFonts w:ascii="Arial" w:hAnsi="Arial" w:cs="Arial"/>
        </w:rPr>
        <w:t>Andress</w:t>
      </w:r>
      <w:proofErr w:type="spellEnd"/>
      <w:r w:rsidRPr="007F0652">
        <w:rPr>
          <w:rFonts w:ascii="Arial" w:hAnsi="Arial" w:cs="Arial"/>
        </w:rPr>
        <w:t>, was elected to the Board of Governors of the American College of Construction Lawyers (</w:t>
      </w:r>
      <w:proofErr w:type="spellStart"/>
      <w:r w:rsidRPr="007F0652">
        <w:rPr>
          <w:rFonts w:ascii="Arial" w:hAnsi="Arial" w:cs="Arial"/>
        </w:rPr>
        <w:t>ACCL</w:t>
      </w:r>
      <w:proofErr w:type="spellEnd"/>
      <w:r w:rsidRPr="007F0652">
        <w:rPr>
          <w:rFonts w:ascii="Arial" w:hAnsi="Arial" w:cs="Arial"/>
        </w:rPr>
        <w:t xml:space="preserve">). Mr. Rosenberg will serve a three-year term and joins the team that provides strategic guidance and leadership to this organization of construction law practitioners, professors and judges. </w:t>
      </w:r>
    </w:p>
    <w:p w:rsidR="007F0652" w:rsidRPr="007F0652" w:rsidRDefault="007F0652" w:rsidP="007F0652">
      <w:pPr>
        <w:ind w:right="-540"/>
        <w:rPr>
          <w:rFonts w:ascii="Arial" w:hAnsi="Arial" w:cs="Arial"/>
        </w:rPr>
      </w:pPr>
      <w:r w:rsidRPr="007F0652">
        <w:rPr>
          <w:rFonts w:ascii="Arial" w:hAnsi="Arial" w:cs="Arial"/>
        </w:rPr>
        <w:t xml:space="preserve">“This well-deserved recognition reflects highly on Tom’s knowledge and dedication to his construction practice and the construction law industry,” said </w:t>
      </w:r>
      <w:proofErr w:type="spellStart"/>
      <w:r w:rsidRPr="007F0652">
        <w:rPr>
          <w:rFonts w:ascii="Arial" w:hAnsi="Arial" w:cs="Arial"/>
        </w:rPr>
        <w:t>Roetzel</w:t>
      </w:r>
      <w:proofErr w:type="spellEnd"/>
      <w:r w:rsidRPr="007F0652">
        <w:rPr>
          <w:rFonts w:ascii="Arial" w:hAnsi="Arial" w:cs="Arial"/>
        </w:rPr>
        <w:t xml:space="preserve"> Chairman Bob Blackham. “To be elected to this distinguished position with the </w:t>
      </w:r>
      <w:proofErr w:type="spellStart"/>
      <w:r w:rsidRPr="007F0652">
        <w:rPr>
          <w:rFonts w:ascii="Arial" w:hAnsi="Arial" w:cs="Arial"/>
        </w:rPr>
        <w:t>ACCL</w:t>
      </w:r>
      <w:proofErr w:type="spellEnd"/>
      <w:r w:rsidRPr="007F0652">
        <w:rPr>
          <w:rFonts w:ascii="Arial" w:hAnsi="Arial" w:cs="Arial"/>
        </w:rPr>
        <w:t xml:space="preserve"> is a significant honor and one that confirms Tom is practicing at the highest levels of the profession.” </w:t>
      </w:r>
    </w:p>
    <w:p w:rsidR="007F0652" w:rsidRPr="007F0652" w:rsidRDefault="007F0652" w:rsidP="007F0652">
      <w:pPr>
        <w:ind w:right="-540"/>
        <w:rPr>
          <w:rFonts w:ascii="Arial" w:hAnsi="Arial" w:cs="Arial"/>
        </w:rPr>
      </w:pPr>
      <w:r w:rsidRPr="007F0652">
        <w:rPr>
          <w:rFonts w:ascii="Arial" w:hAnsi="Arial" w:cs="Arial"/>
        </w:rPr>
        <w:t xml:space="preserve">The </w:t>
      </w:r>
      <w:proofErr w:type="spellStart"/>
      <w:r w:rsidRPr="007F0652">
        <w:rPr>
          <w:rFonts w:ascii="Arial" w:hAnsi="Arial" w:cs="Arial"/>
        </w:rPr>
        <w:t>ACCL</w:t>
      </w:r>
      <w:proofErr w:type="spellEnd"/>
      <w:r w:rsidRPr="007F0652">
        <w:rPr>
          <w:rFonts w:ascii="Arial" w:hAnsi="Arial" w:cs="Arial"/>
        </w:rPr>
        <w:t xml:space="preserve"> is a national organization of lawyers who have demonstrated skill, experience, and high standards of professional and ethical conduct in the practice, or in the teaching, of construction law. Mr. Rosenberg has been serving as a Fellow in the </w:t>
      </w:r>
      <w:proofErr w:type="spellStart"/>
      <w:r w:rsidRPr="007F0652">
        <w:rPr>
          <w:rFonts w:ascii="Arial" w:hAnsi="Arial" w:cs="Arial"/>
        </w:rPr>
        <w:t>ACCL</w:t>
      </w:r>
      <w:proofErr w:type="spellEnd"/>
      <w:r w:rsidRPr="007F0652">
        <w:rPr>
          <w:rFonts w:ascii="Arial" w:hAnsi="Arial" w:cs="Arial"/>
        </w:rPr>
        <w:t xml:space="preserve"> since 2016 and is only one of three attorneys in Ohio to hold the prestigious title. </w:t>
      </w:r>
      <w:proofErr w:type="spellStart"/>
      <w:r w:rsidRPr="007F0652">
        <w:rPr>
          <w:rFonts w:ascii="Arial" w:hAnsi="Arial" w:cs="Arial"/>
        </w:rPr>
        <w:t>ACCL</w:t>
      </w:r>
      <w:proofErr w:type="spellEnd"/>
      <w:r w:rsidRPr="007F0652">
        <w:rPr>
          <w:rFonts w:ascii="Arial" w:hAnsi="Arial" w:cs="Arial"/>
        </w:rPr>
        <w:t xml:space="preserve"> has a limited membership of lawyers from the United States, Canada, Britain, Australia and France. </w:t>
      </w:r>
    </w:p>
    <w:p w:rsidR="007F0652" w:rsidRPr="007F0652" w:rsidRDefault="007F0652" w:rsidP="007F0652">
      <w:pPr>
        <w:ind w:right="-540"/>
        <w:rPr>
          <w:rFonts w:ascii="Arial" w:hAnsi="Arial" w:cs="Arial"/>
        </w:rPr>
      </w:pPr>
      <w:r w:rsidRPr="007F0652">
        <w:rPr>
          <w:rFonts w:ascii="Arial" w:hAnsi="Arial" w:cs="Arial"/>
        </w:rPr>
        <w:t xml:space="preserve">Mr. Rosenberg focuses his practice on construction law and civil litigation, and leads </w:t>
      </w:r>
      <w:proofErr w:type="spellStart"/>
      <w:r w:rsidRPr="007F0652">
        <w:rPr>
          <w:rFonts w:ascii="Arial" w:hAnsi="Arial" w:cs="Arial"/>
        </w:rPr>
        <w:t>Roetzel’s</w:t>
      </w:r>
      <w:proofErr w:type="spellEnd"/>
      <w:r w:rsidRPr="007F0652">
        <w:rPr>
          <w:rFonts w:ascii="Arial" w:hAnsi="Arial" w:cs="Arial"/>
        </w:rPr>
        <w:t xml:space="preserve"> Construction Law practice, which has been recognized by </w:t>
      </w:r>
      <w:r w:rsidRPr="007F0652">
        <w:rPr>
          <w:rFonts w:ascii="Arial" w:hAnsi="Arial" w:cs="Arial"/>
          <w:i/>
        </w:rPr>
        <w:t>US News &amp; World Report</w:t>
      </w:r>
      <w:r w:rsidRPr="007F0652">
        <w:rPr>
          <w:rFonts w:ascii="Arial" w:hAnsi="Arial" w:cs="Arial"/>
        </w:rPr>
        <w:t xml:space="preserve"> as one of the best law firms nationally and/or regionally for construction and construction litigation from 2012 to 2021.</w:t>
      </w:r>
    </w:p>
    <w:p w:rsidR="007F0652" w:rsidRPr="007F0652" w:rsidRDefault="007F0652" w:rsidP="007F0652">
      <w:pPr>
        <w:ind w:right="-540"/>
        <w:rPr>
          <w:rFonts w:ascii="Arial" w:hAnsi="Arial" w:cs="Arial"/>
        </w:rPr>
      </w:pPr>
      <w:r w:rsidRPr="007F0652">
        <w:rPr>
          <w:rFonts w:ascii="Arial" w:hAnsi="Arial" w:cs="Arial"/>
        </w:rPr>
        <w:t xml:space="preserve">Mr. Rosenberg, past Chair of the American Bar Association Forum on Construction Law, has been honored by </w:t>
      </w:r>
      <w:r w:rsidRPr="007F0652">
        <w:rPr>
          <w:rFonts w:ascii="Arial" w:hAnsi="Arial" w:cs="Arial"/>
          <w:i/>
        </w:rPr>
        <w:t>Chambers USA</w:t>
      </w:r>
      <w:r w:rsidRPr="007F0652">
        <w:rPr>
          <w:rFonts w:ascii="Arial" w:hAnsi="Arial" w:cs="Arial"/>
        </w:rPr>
        <w:t xml:space="preserve"> as a leading construction lawyer in Ohio since 2003. He has been selected as an Ohio Super Lawyer by Ohio</w:t>
      </w:r>
      <w:r w:rsidRPr="007F0652">
        <w:rPr>
          <w:rFonts w:ascii="Arial" w:hAnsi="Arial" w:cs="Arial"/>
          <w:i/>
        </w:rPr>
        <w:t xml:space="preserve"> Super Lawyers Magazine</w:t>
      </w:r>
      <w:r w:rsidRPr="007F0652">
        <w:rPr>
          <w:rFonts w:ascii="Arial" w:hAnsi="Arial" w:cs="Arial"/>
        </w:rPr>
        <w:t xml:space="preserve"> for the past 18 years and is listed in </w:t>
      </w:r>
      <w:r w:rsidRPr="007F0652">
        <w:rPr>
          <w:rFonts w:ascii="Arial" w:hAnsi="Arial" w:cs="Arial"/>
          <w:i/>
        </w:rPr>
        <w:t>The Best Lawyers in America</w:t>
      </w:r>
      <w:r w:rsidRPr="007F0652">
        <w:rPr>
          <w:rFonts w:ascii="Arial" w:hAnsi="Arial" w:cs="Arial"/>
        </w:rPr>
        <w:t xml:space="preserve">® for construction law and construction litigation. Mr. Rosenberg has been recognized in International </w:t>
      </w:r>
      <w:r w:rsidRPr="007F0652">
        <w:rPr>
          <w:rFonts w:ascii="Arial" w:hAnsi="Arial" w:cs="Arial"/>
          <w:i/>
        </w:rPr>
        <w:t>Who’s Who in Construction Law</w:t>
      </w:r>
      <w:r w:rsidRPr="007F0652">
        <w:rPr>
          <w:rFonts w:ascii="Arial" w:hAnsi="Arial" w:cs="Arial"/>
        </w:rPr>
        <w:t xml:space="preserve"> for his international construction law practice. </w:t>
      </w:r>
    </w:p>
    <w:p w:rsidR="007F0652" w:rsidRPr="007F0652" w:rsidRDefault="007F0652" w:rsidP="007F0652">
      <w:pPr>
        <w:ind w:right="-540"/>
        <w:rPr>
          <w:rFonts w:ascii="Arial" w:hAnsi="Arial" w:cs="Arial"/>
        </w:rPr>
      </w:pPr>
      <w:r w:rsidRPr="007F0652">
        <w:rPr>
          <w:rFonts w:ascii="Arial" w:hAnsi="Arial" w:cs="Arial"/>
        </w:rPr>
        <w:t>An arbitrator with the American Arbitration Association, Mr. Rosenberg is also former chairperson of Division 4 - Project Delivery Systems, and former member of the Governing Committee of the American Bar Association, Forum on Construction Law, former chairperson of the Lawyers Group of the Builders Exchange of Central Ohio, former chairperson of the Construction Law Committee of the Columbus (Ohio) Bar Association, and a member of the Construction Law Committee of the Ohio State Bar Association. He has served as an arbitrator and mediator in construction disputes on projects of all sizes.</w:t>
      </w:r>
    </w:p>
    <w:p w:rsidR="007F0652" w:rsidRDefault="007F0652" w:rsidP="007F0652">
      <w:pPr>
        <w:ind w:right="-540"/>
      </w:pPr>
      <w:r w:rsidRPr="007F0652">
        <w:rPr>
          <w:rFonts w:ascii="Arial" w:hAnsi="Arial" w:cs="Arial"/>
        </w:rPr>
        <w:t xml:space="preserve">Mr. Rosenberg is also a published author in Construction Litigation. He served as Content Editor, Contributing Author and Author Coordinator on </w:t>
      </w:r>
      <w:r w:rsidRPr="007F0652">
        <w:rPr>
          <w:rFonts w:ascii="Arial" w:hAnsi="Arial" w:cs="Arial"/>
          <w:i/>
        </w:rPr>
        <w:t>The Effective Use of Forensic Experts in Construction Litigation</w:t>
      </w:r>
      <w:r w:rsidRPr="007F0652">
        <w:rPr>
          <w:rFonts w:ascii="Arial" w:hAnsi="Arial" w:cs="Arial"/>
        </w:rPr>
        <w:t>.</w:t>
      </w:r>
    </w:p>
    <w:p w:rsidR="007D392F" w:rsidRDefault="007D392F" w:rsidP="007D392F">
      <w:pPr>
        <w:pStyle w:val="ListBullet"/>
        <w:numPr>
          <w:ilvl w:val="0"/>
          <w:numId w:val="0"/>
        </w:numPr>
        <w:tabs>
          <w:tab w:val="clear" w:pos="216"/>
        </w:tabs>
      </w:pPr>
    </w:p>
    <w:p w:rsidR="007F0652" w:rsidRDefault="007F0652" w:rsidP="007D392F">
      <w:pPr>
        <w:pStyle w:val="ListBullet"/>
        <w:numPr>
          <w:ilvl w:val="0"/>
          <w:numId w:val="0"/>
        </w:numPr>
        <w:tabs>
          <w:tab w:val="clear" w:pos="216"/>
        </w:tabs>
        <w:rPr>
          <w:rFonts w:cs="Arial"/>
          <w:b/>
          <w:color w:val="002855"/>
          <w:sz w:val="22"/>
        </w:rPr>
      </w:pPr>
    </w:p>
    <w:p w:rsidR="001C7901" w:rsidRDefault="004F51BC" w:rsidP="007D392F">
      <w:pPr>
        <w:pStyle w:val="ListBullet"/>
        <w:numPr>
          <w:ilvl w:val="0"/>
          <w:numId w:val="0"/>
        </w:numPr>
        <w:tabs>
          <w:tab w:val="clear" w:pos="216"/>
        </w:tabs>
        <w:rPr>
          <w:rFonts w:cs="Arial"/>
          <w:b/>
          <w:color w:val="002855"/>
          <w:sz w:val="22"/>
        </w:rPr>
      </w:pPr>
      <w:r>
        <w:rPr>
          <w:rFonts w:cs="Arial"/>
          <w:b/>
          <w:color w:val="002855"/>
          <w:sz w:val="22"/>
        </w:rPr>
        <w:lastRenderedPageBreak/>
        <w:t xml:space="preserve">About </w:t>
      </w:r>
      <w:proofErr w:type="spellStart"/>
      <w:r>
        <w:rPr>
          <w:rFonts w:cs="Arial"/>
          <w:b/>
          <w:color w:val="002855"/>
          <w:sz w:val="22"/>
        </w:rPr>
        <w:t>Roetzel</w:t>
      </w:r>
      <w:proofErr w:type="spellEnd"/>
    </w:p>
    <w:p w:rsidR="009F04FE" w:rsidRDefault="007D392F" w:rsidP="007D392F">
      <w:pPr>
        <w:pStyle w:val="ListBullet"/>
        <w:numPr>
          <w:ilvl w:val="0"/>
          <w:numId w:val="0"/>
        </w:numPr>
        <w:tabs>
          <w:tab w:val="clear" w:pos="216"/>
        </w:tabs>
      </w:pPr>
      <w:proofErr w:type="spellStart"/>
      <w:r>
        <w:t>Roetzel</w:t>
      </w:r>
      <w:proofErr w:type="spellEnd"/>
      <w:r>
        <w:t xml:space="preserve"> is a </w:t>
      </w:r>
      <w:r w:rsidR="004F51BC">
        <w:t>full-</w:t>
      </w:r>
      <w:bookmarkStart w:id="0" w:name="_GoBack"/>
      <w:bookmarkEnd w:id="0"/>
      <w:r w:rsidR="004F51BC">
        <w:t xml:space="preserve">service law firm with offices located throughout Ohio and Florida, and in Chicago. The firm provides comprehensive legal services to national and international corporations, closely held and family-run businesses, institutions, organizations, and individuals. For more information, visit </w:t>
      </w:r>
      <w:hyperlink r:id="rId7" w:history="1">
        <w:r w:rsidR="004F51BC" w:rsidRPr="000D2068">
          <w:rPr>
            <w:rStyle w:val="Hyperlink"/>
          </w:rPr>
          <w:t>www.ralaw.com</w:t>
        </w:r>
      </w:hyperlink>
      <w:r w:rsidR="004F51BC">
        <w:t xml:space="preserve">. </w:t>
      </w:r>
    </w:p>
    <w:p w:rsidR="007D392F" w:rsidRPr="009F04FE" w:rsidRDefault="007D392F" w:rsidP="009F04FE">
      <w:pPr>
        <w:rPr>
          <w:rFonts w:ascii="Arial" w:hAnsi="Arial"/>
          <w:sz w:val="20"/>
          <w:szCs w:val="24"/>
        </w:rPr>
      </w:pPr>
    </w:p>
    <w:sectPr w:rsidR="007D392F" w:rsidRPr="009F04FE" w:rsidSect="006855CD">
      <w:headerReference w:type="default" r:id="rId8"/>
      <w:footerReference w:type="default" r:id="rId9"/>
      <w:pgSz w:w="12240" w:h="15840"/>
      <w:pgMar w:top="1440" w:right="1440" w:bottom="1440" w:left="1440"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A1539" w:rsidRDefault="008A1539" w:rsidP="00052FC2">
      <w:pPr>
        <w:spacing w:after="0" w:line="240" w:lineRule="auto"/>
      </w:pPr>
      <w:r>
        <w:separator/>
      </w:r>
    </w:p>
  </w:endnote>
  <w:endnote w:type="continuationSeparator" w:id="0">
    <w:p w:rsidR="008A1539" w:rsidRDefault="008A1539" w:rsidP="00052F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55CD" w:rsidRDefault="006855CD" w:rsidP="006855CD">
    <w:pPr>
      <w:pStyle w:val="Footer"/>
      <w:ind w:left="-540" w:firstLine="540"/>
      <w:jc w:val="center"/>
      <w:rPr>
        <w:rFonts w:ascii="Arial" w:hAnsi="Arial" w:cs="Arial"/>
        <w:sz w:val="16"/>
        <w:szCs w:val="16"/>
      </w:rPr>
    </w:pPr>
  </w:p>
  <w:p w:rsidR="006855CD" w:rsidRPr="003D446D" w:rsidRDefault="006855CD" w:rsidP="006855CD">
    <w:pPr>
      <w:pStyle w:val="Footer"/>
      <w:ind w:left="-540" w:firstLine="540"/>
      <w:jc w:val="center"/>
      <w:rPr>
        <w:rFonts w:ascii="Arial" w:hAnsi="Arial" w:cs="Arial"/>
        <w:sz w:val="16"/>
        <w:szCs w:val="16"/>
      </w:rPr>
    </w:pPr>
  </w:p>
  <w:p w:rsidR="006855CD" w:rsidRDefault="006855CD" w:rsidP="006855CD">
    <w:pPr>
      <w:pStyle w:val="Footer"/>
      <w:ind w:left="-540" w:firstLine="540"/>
    </w:pPr>
    <w:r w:rsidRPr="00142E96">
      <w:rPr>
        <w:noProof/>
      </w:rPr>
      <w:drawing>
        <wp:anchor distT="0" distB="0" distL="114300" distR="114300" simplePos="0" relativeHeight="251668480" behindDoc="1" locked="0" layoutInCell="1" allowOverlap="1" wp14:anchorId="33A957C8" wp14:editId="029950A7">
          <wp:simplePos x="0" y="0"/>
          <wp:positionH relativeFrom="column">
            <wp:posOffset>3179929</wp:posOffset>
          </wp:positionH>
          <wp:positionV relativeFrom="paragraph">
            <wp:posOffset>10795</wp:posOffset>
          </wp:positionV>
          <wp:extent cx="3340100" cy="3302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340100" cy="3302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4EB7C499" wp14:editId="7AFE08AF">
          <wp:simplePos x="0" y="0"/>
          <wp:positionH relativeFrom="column">
            <wp:posOffset>-368490</wp:posOffset>
          </wp:positionH>
          <wp:positionV relativeFrom="paragraph">
            <wp:posOffset>0</wp:posOffset>
          </wp:positionV>
          <wp:extent cx="3408218" cy="340995"/>
          <wp:effectExtent l="0" t="0" r="1905" b="190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ave_artwork-07.png"/>
                  <pic:cNvPicPr/>
                </pic:nvPicPr>
                <pic:blipFill>
                  <a:blip r:embed="rId2"/>
                  <a:stretch>
                    <a:fillRect/>
                  </a:stretch>
                </pic:blipFill>
                <pic:spPr>
                  <a:xfrm>
                    <a:off x="0" y="0"/>
                    <a:ext cx="3408218" cy="340995"/>
                  </a:xfrm>
                  <a:prstGeom prst="rect">
                    <a:avLst/>
                  </a:prstGeom>
                </pic:spPr>
              </pic:pic>
            </a:graphicData>
          </a:graphic>
          <wp14:sizeRelH relativeFrom="page">
            <wp14:pctWidth>0</wp14:pctWidth>
          </wp14:sizeRelH>
          <wp14:sizeRelV relativeFrom="page">
            <wp14:pctHeight>0</wp14:pctHeight>
          </wp14:sizeRelV>
        </wp:anchor>
      </w:drawing>
    </w:r>
  </w:p>
  <w:p w:rsidR="000F173D" w:rsidRPr="006855CD" w:rsidRDefault="000F173D" w:rsidP="006855CD">
    <w:pPr>
      <w:pStyle w:val="Footer"/>
      <w:jc w:val="center"/>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A1539" w:rsidRDefault="008A1539" w:rsidP="00052FC2">
      <w:pPr>
        <w:spacing w:after="0" w:line="240" w:lineRule="auto"/>
      </w:pPr>
      <w:r>
        <w:separator/>
      </w:r>
    </w:p>
  </w:footnote>
  <w:footnote w:type="continuationSeparator" w:id="0">
    <w:p w:rsidR="008A1539" w:rsidRDefault="008A1539" w:rsidP="00052F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2FC2" w:rsidRDefault="00DF15CB">
    <w:pPr>
      <w:pStyle w:val="Header"/>
    </w:pPr>
    <w:r>
      <w:rPr>
        <w:noProof/>
      </w:rPr>
      <w:drawing>
        <wp:anchor distT="0" distB="0" distL="114300" distR="114300" simplePos="0" relativeHeight="251665408" behindDoc="0" locked="0" layoutInCell="1" allowOverlap="1">
          <wp:simplePos x="0" y="0"/>
          <wp:positionH relativeFrom="column">
            <wp:posOffset>4965065</wp:posOffset>
          </wp:positionH>
          <wp:positionV relativeFrom="paragraph">
            <wp:posOffset>150495</wp:posOffset>
          </wp:positionV>
          <wp:extent cx="1229360" cy="309880"/>
          <wp:effectExtent l="0" t="0" r="889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ave_artwork-06_orange.png"/>
                  <pic:cNvPicPr/>
                </pic:nvPicPr>
                <pic:blipFill>
                  <a:blip r:embed="rId1">
                    <a:extLst>
                      <a:ext uri="{28A0092B-C50C-407E-A947-70E740481C1C}">
                        <a14:useLocalDpi xmlns:a14="http://schemas.microsoft.com/office/drawing/2010/main" val="0"/>
                      </a:ext>
                    </a:extLst>
                  </a:blip>
                  <a:stretch>
                    <a:fillRect/>
                  </a:stretch>
                </pic:blipFill>
                <pic:spPr>
                  <a:xfrm>
                    <a:off x="0" y="0"/>
                    <a:ext cx="1229360" cy="309880"/>
                  </a:xfrm>
                  <a:prstGeom prst="rect">
                    <a:avLst/>
                  </a:prstGeom>
                </pic:spPr>
              </pic:pic>
            </a:graphicData>
          </a:graphic>
          <wp14:sizeRelH relativeFrom="margin">
            <wp14:pctWidth>0</wp14:pctWidth>
          </wp14:sizeRelH>
          <wp14:sizeRelV relativeFrom="margin">
            <wp14:pctHeight>0</wp14:pctHeight>
          </wp14:sizeRelV>
        </wp:anchor>
      </w:drawing>
    </w:r>
    <w:r w:rsidR="001C7901">
      <w:rPr>
        <w:noProof/>
      </w:rPr>
      <w:drawing>
        <wp:anchor distT="0" distB="0" distL="114300" distR="114300" simplePos="0" relativeHeight="251659264" behindDoc="0" locked="0" layoutInCell="1" allowOverlap="1">
          <wp:simplePos x="0" y="0"/>
          <wp:positionH relativeFrom="column">
            <wp:posOffset>-361950</wp:posOffset>
          </wp:positionH>
          <wp:positionV relativeFrom="paragraph">
            <wp:posOffset>149860</wp:posOffset>
          </wp:positionV>
          <wp:extent cx="5255260" cy="309880"/>
          <wp:effectExtent l="0" t="0" r="254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vitation_wave_artwork-01_blue.jpg"/>
                  <pic:cNvPicPr/>
                </pic:nvPicPr>
                <pic:blipFill>
                  <a:blip r:embed="rId2">
                    <a:extLst>
                      <a:ext uri="{28A0092B-C50C-407E-A947-70E740481C1C}">
                        <a14:useLocalDpi xmlns:a14="http://schemas.microsoft.com/office/drawing/2010/main" val="0"/>
                      </a:ext>
                    </a:extLst>
                  </a:blip>
                  <a:stretch>
                    <a:fillRect/>
                  </a:stretch>
                </pic:blipFill>
                <pic:spPr>
                  <a:xfrm>
                    <a:off x="0" y="0"/>
                    <a:ext cx="5255260" cy="309880"/>
                  </a:xfrm>
                  <a:prstGeom prst="rect">
                    <a:avLst/>
                  </a:prstGeom>
                </pic:spPr>
              </pic:pic>
            </a:graphicData>
          </a:graphic>
          <wp14:sizeRelH relativeFrom="margin">
            <wp14:pctWidth>0</wp14:pctWidth>
          </wp14:sizeRelH>
          <wp14:sizeRelV relativeFrom="margin">
            <wp14:pctHeight>0</wp14:pctHeight>
          </wp14:sizeRelV>
        </wp:anchor>
      </w:drawing>
    </w:r>
    <w:r w:rsidR="00052FC2">
      <w:rPr>
        <w:noProof/>
      </w:rPr>
      <w:drawing>
        <wp:anchor distT="0" distB="0" distL="114300" distR="114300" simplePos="0" relativeHeight="251660288" behindDoc="0" locked="0" layoutInCell="1" allowOverlap="1">
          <wp:simplePos x="0" y="0"/>
          <wp:positionH relativeFrom="margin">
            <wp:posOffset>4647063</wp:posOffset>
          </wp:positionH>
          <wp:positionV relativeFrom="paragraph">
            <wp:posOffset>-245973</wp:posOffset>
          </wp:positionV>
          <wp:extent cx="1548765" cy="316230"/>
          <wp:effectExtent l="0" t="0" r="0"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oetzel_logo_Digital.png"/>
                  <pic:cNvPicPr/>
                </pic:nvPicPr>
                <pic:blipFill>
                  <a:blip r:embed="rId3">
                    <a:extLst>
                      <a:ext uri="{28A0092B-C50C-407E-A947-70E740481C1C}">
                        <a14:useLocalDpi xmlns:a14="http://schemas.microsoft.com/office/drawing/2010/main" val="0"/>
                      </a:ext>
                    </a:extLst>
                  </a:blip>
                  <a:stretch>
                    <a:fillRect/>
                  </a:stretch>
                </pic:blipFill>
                <pic:spPr>
                  <a:xfrm>
                    <a:off x="0" y="0"/>
                    <a:ext cx="1548765" cy="31623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B254F84A"/>
    <w:lvl w:ilvl="0">
      <w:start w:val="1"/>
      <w:numFmt w:val="bullet"/>
      <w:pStyle w:val="ListBullet"/>
      <w:lvlText w:val=""/>
      <w:lvlJc w:val="left"/>
      <w:pPr>
        <w:tabs>
          <w:tab w:val="num" w:pos="360"/>
        </w:tabs>
        <w:ind w:left="360" w:hanging="360"/>
      </w:pPr>
      <w:rPr>
        <w:rFonts w:ascii="Symbol" w:hAnsi="Symbol" w:hint="default"/>
        <w:color w:val="auto"/>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36C2"/>
    <w:rsid w:val="00052FC2"/>
    <w:rsid w:val="000F173D"/>
    <w:rsid w:val="001C7901"/>
    <w:rsid w:val="004F51BC"/>
    <w:rsid w:val="00582B77"/>
    <w:rsid w:val="005836C2"/>
    <w:rsid w:val="006855CD"/>
    <w:rsid w:val="007D392F"/>
    <w:rsid w:val="007F0652"/>
    <w:rsid w:val="00883F3B"/>
    <w:rsid w:val="008A1539"/>
    <w:rsid w:val="008E23FD"/>
    <w:rsid w:val="009F04FE"/>
    <w:rsid w:val="00AE7F42"/>
    <w:rsid w:val="00AF101D"/>
    <w:rsid w:val="00C03BA9"/>
    <w:rsid w:val="00DF15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B18D062"/>
  <w15:chartTrackingRefBased/>
  <w15:docId w15:val="{A3913811-A029-4C09-BB27-C397128D8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52F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2FC2"/>
  </w:style>
  <w:style w:type="paragraph" w:styleId="Footer">
    <w:name w:val="footer"/>
    <w:basedOn w:val="Normal"/>
    <w:link w:val="FooterChar"/>
    <w:uiPriority w:val="99"/>
    <w:unhideWhenUsed/>
    <w:rsid w:val="00052F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2FC2"/>
  </w:style>
  <w:style w:type="paragraph" w:styleId="ListBullet">
    <w:name w:val="List Bullet"/>
    <w:basedOn w:val="Normal"/>
    <w:uiPriority w:val="99"/>
    <w:unhideWhenUsed/>
    <w:rsid w:val="001C7901"/>
    <w:pPr>
      <w:numPr>
        <w:numId w:val="1"/>
      </w:numPr>
      <w:tabs>
        <w:tab w:val="left" w:pos="0"/>
        <w:tab w:val="left" w:pos="216"/>
        <w:tab w:val="left" w:pos="720"/>
      </w:tabs>
      <w:spacing w:before="120" w:after="0" w:line="240" w:lineRule="exact"/>
      <w:ind w:left="1080" w:right="360" w:hanging="216"/>
    </w:pPr>
    <w:rPr>
      <w:rFonts w:ascii="Arial" w:hAnsi="Arial"/>
      <w:sz w:val="20"/>
      <w:szCs w:val="24"/>
    </w:rPr>
  </w:style>
  <w:style w:type="character" w:styleId="Hyperlink">
    <w:name w:val="Hyperlink"/>
    <w:basedOn w:val="DefaultParagraphFont"/>
    <w:uiPriority w:val="99"/>
    <w:unhideWhenUsed/>
    <w:rsid w:val="004F51BC"/>
    <w:rPr>
      <w:color w:val="0563C1" w:themeColor="hyperlink"/>
      <w:u w:val="single"/>
    </w:rPr>
  </w:style>
  <w:style w:type="character" w:styleId="UnresolvedMention">
    <w:name w:val="Unresolved Mention"/>
    <w:basedOn w:val="DefaultParagraphFont"/>
    <w:uiPriority w:val="99"/>
    <w:semiHidden/>
    <w:unhideWhenUsed/>
    <w:rsid w:val="004F51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ralaw.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485</Words>
  <Characters>2769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Roetzel</Company>
  <LinksUpToDate>false</LinksUpToDate>
  <CharactersWithSpaces>3248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Lauck, Kelly</dc:creator>
  <cp:keywords/>
  <dc:description/>
  <cp:lastModifiedBy>Maurer, Lyndsey</cp:lastModifiedBy>
  <cp:revision>2</cp:revision>
  <dcterms:created xsi:type="dcterms:W3CDTF">2021-04-05T19:27:00Z</dcterms:created>
  <dcterms:modified xsi:type="dcterms:W3CDTF">2021-04-05T19:27:00Z</dcterms:modified>
</cp:coreProperties>
</file>